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7EA"/>
  <w:body>
    <w:p w:rsidR="00A04468" w:rsidRDefault="00A04468" w:rsidP="00B247CA">
      <w:pPr>
        <w:jc w:val="right"/>
        <w:rPr>
          <w:rFonts w:ascii="Arial Rounded MT Bold" w:hAnsi="Arial Rounded MT Bold" w:cs="Arabic Typesetting"/>
          <w:b/>
          <w:color w:val="FF0000"/>
          <w:sz w:val="32"/>
          <w:szCs w:val="32"/>
          <w:u w:val="single"/>
        </w:rPr>
      </w:pPr>
      <w:r>
        <w:rPr>
          <w:noProof/>
          <w:lang w:val="en-US" w:bidi="hi-IN"/>
        </w:rPr>
        <w:drawing>
          <wp:inline distT="0" distB="0" distL="0" distR="0">
            <wp:extent cx="742950" cy="7048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0" r="30769" b="5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drawing>
          <wp:inline distT="0" distB="0" distL="0" distR="0">
            <wp:extent cx="2505075" cy="7239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81" t="53931" r="13461" b="2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68" w:rsidRDefault="00A04468">
      <w:pPr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</w:pPr>
    </w:p>
    <w:p w:rsidR="00A04468" w:rsidRDefault="00A04468">
      <w:pPr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</w:pPr>
    </w:p>
    <w:p w:rsidR="00B41122" w:rsidRPr="00182DEC" w:rsidRDefault="00B41122" w:rsidP="00B41122">
      <w:pPr>
        <w:jc w:val="center"/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</w:pPr>
      <w:r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 xml:space="preserve">LABORT’S </w:t>
      </w:r>
      <w:r w:rsidR="00730F38"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>LABO</w:t>
      </w:r>
      <w:r w:rsidR="005E6E7C"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 xml:space="preserve">PURE </w:t>
      </w:r>
      <w:r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>STANDARDS</w:t>
      </w:r>
    </w:p>
    <w:p w:rsidR="00B41122" w:rsidRPr="00182DEC" w:rsidRDefault="00B41122" w:rsidP="00B41122">
      <w:pPr>
        <w:jc w:val="center"/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</w:pPr>
      <w:r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>With</w:t>
      </w:r>
    </w:p>
    <w:p w:rsidR="00730F38" w:rsidRPr="00A04468" w:rsidRDefault="00730F38" w:rsidP="00B41122">
      <w:pPr>
        <w:jc w:val="center"/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</w:pPr>
      <w:r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 xml:space="preserve">Sulphur in </w:t>
      </w:r>
      <w:r w:rsidR="005E6E7C"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 xml:space="preserve">Light </w:t>
      </w:r>
      <w:r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 xml:space="preserve">Mineral </w:t>
      </w:r>
      <w:r w:rsidR="005E6E7C" w:rsidRPr="00182DEC">
        <w:rPr>
          <w:rFonts w:ascii="Arial Rounded MT Bold" w:hAnsi="Arial Rounded MT Bold" w:cs="Arabic Typesetting"/>
          <w:b/>
          <w:color w:val="C0504D" w:themeColor="accent2"/>
          <w:sz w:val="32"/>
          <w:szCs w:val="32"/>
          <w:u w:val="single"/>
        </w:rPr>
        <w:t>Oil</w:t>
      </w:r>
    </w:p>
    <w:p w:rsidR="00730F38" w:rsidRDefault="00730F38" w:rsidP="0040121F">
      <w:pPr>
        <w:jc w:val="right"/>
        <w:rPr>
          <w:rFonts w:ascii="Helvetica" w:hAnsi="Helvetica" w:cs="Helvetica"/>
          <w:b/>
          <w:color w:val="FF0000"/>
          <w:sz w:val="24"/>
          <w:szCs w:val="24"/>
        </w:rPr>
      </w:pPr>
    </w:p>
    <w:p w:rsidR="005E6E7C" w:rsidRDefault="005E6E7C">
      <w:pPr>
        <w:rPr>
          <w:rFonts w:ascii="Helvetica" w:hAnsi="Helvetica" w:cs="Helvetica"/>
          <w:b/>
          <w:color w:val="FF0000"/>
          <w:sz w:val="24"/>
          <w:szCs w:val="24"/>
        </w:rPr>
      </w:pPr>
    </w:p>
    <w:p w:rsidR="009D72CA" w:rsidRDefault="00BC79B4">
      <w:pPr>
        <w:rPr>
          <w:rFonts w:ascii="Helvetica" w:hAnsi="Helvetica" w:cs="Helvetica"/>
          <w:color w:val="767676"/>
          <w:sz w:val="21"/>
          <w:szCs w:val="21"/>
        </w:rPr>
      </w:pPr>
      <w:r w:rsidRPr="00A04468">
        <w:rPr>
          <w:rFonts w:ascii="Arial" w:hAnsi="Arial" w:cs="Arial"/>
          <w:b/>
          <w:color w:val="FF0000"/>
          <w:sz w:val="24"/>
          <w:szCs w:val="24"/>
        </w:rPr>
        <w:t>LABORT</w:t>
      </w:r>
      <w:r w:rsidRPr="00A04468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®</w:t>
      </w:r>
      <w:r w:rsidRPr="00A04468">
        <w:rPr>
          <w:rFonts w:ascii="Arial" w:hAnsi="Arial" w:cs="Arial"/>
          <w:color w:val="FF0000"/>
          <w:sz w:val="21"/>
          <w:szCs w:val="21"/>
        </w:rPr>
        <w:t xml:space="preserve"> </w:t>
      </w:r>
      <w:r w:rsidRPr="00A04468">
        <w:rPr>
          <w:rFonts w:ascii="Arial" w:hAnsi="Arial" w:cs="Arial"/>
          <w:color w:val="767676"/>
          <w:sz w:val="21"/>
          <w:szCs w:val="21"/>
        </w:rPr>
        <w:t xml:space="preserve">offers </w:t>
      </w:r>
      <w:r w:rsidRPr="00182DEC">
        <w:rPr>
          <w:rFonts w:ascii="Arial" w:hAnsi="Arial" w:cs="Arial"/>
          <w:color w:val="767676"/>
          <w:sz w:val="21"/>
          <w:szCs w:val="21"/>
        </w:rPr>
        <w:t xml:space="preserve">a </w:t>
      </w:r>
      <w:r w:rsidR="00D9749A" w:rsidRPr="00182DEC">
        <w:rPr>
          <w:rFonts w:ascii="Arial" w:hAnsi="Arial" w:cs="Arial"/>
          <w:color w:val="767676"/>
          <w:sz w:val="21"/>
          <w:szCs w:val="21"/>
        </w:rPr>
        <w:t>series</w:t>
      </w:r>
      <w:r w:rsidRPr="00182DEC">
        <w:rPr>
          <w:rFonts w:ascii="Arial" w:hAnsi="Arial" w:cs="Arial"/>
          <w:color w:val="767676"/>
          <w:sz w:val="21"/>
          <w:szCs w:val="21"/>
        </w:rPr>
        <w:t xml:space="preserve"> of calibration standards specifically designed for the analysis of sulphur in light mineral oil (</w:t>
      </w:r>
      <w:r w:rsidR="004E1274" w:rsidRPr="00182DEC">
        <w:rPr>
          <w:rFonts w:ascii="Arial" w:hAnsi="Arial" w:cs="Arial"/>
          <w:color w:val="767676"/>
          <w:sz w:val="21"/>
          <w:szCs w:val="21"/>
        </w:rPr>
        <w:t xml:space="preserve">viscosity </w:t>
      </w:r>
      <w:r w:rsidRPr="00182DEC">
        <w:rPr>
          <w:rFonts w:ascii="Arial" w:hAnsi="Arial" w:cs="Arial"/>
          <w:color w:val="767676"/>
          <w:sz w:val="21"/>
          <w:szCs w:val="21"/>
        </w:rPr>
        <w:t>20cSt). These standards are ideally suited for ASTM Methods D2622, D4294, D7039, D7217, D7220 and others.</w:t>
      </w:r>
      <w:r w:rsidRPr="00182DEC">
        <w:rPr>
          <w:rFonts w:ascii="Arial" w:hAnsi="Arial" w:cs="Arial"/>
          <w:color w:val="767676"/>
          <w:sz w:val="21"/>
          <w:szCs w:val="21"/>
        </w:rPr>
        <w:br/>
      </w:r>
      <w:r w:rsidRPr="00182DEC">
        <w:rPr>
          <w:rFonts w:ascii="Arial" w:hAnsi="Arial" w:cs="Arial"/>
          <w:color w:val="767676"/>
          <w:sz w:val="21"/>
          <w:szCs w:val="21"/>
        </w:rPr>
        <w:br/>
      </w:r>
      <w:r w:rsidR="001F139E" w:rsidRPr="00182DEC">
        <w:rPr>
          <w:rFonts w:ascii="Arial" w:hAnsi="Arial" w:cs="Arial"/>
          <w:color w:val="767676"/>
          <w:sz w:val="21"/>
          <w:szCs w:val="21"/>
        </w:rPr>
        <w:t>LABORT</w:t>
      </w:r>
      <w:r w:rsidR="00604502" w:rsidRPr="00182DEC">
        <w:rPr>
          <w:rFonts w:ascii="Arial" w:hAnsi="Arial" w:cs="Arial"/>
          <w:color w:val="767676"/>
          <w:sz w:val="21"/>
          <w:szCs w:val="21"/>
        </w:rPr>
        <w:t>’s</w:t>
      </w:r>
      <w:r w:rsidR="001F139E" w:rsidRPr="00182DEC">
        <w:rPr>
          <w:rFonts w:ascii="Arial" w:hAnsi="Arial" w:cs="Arial"/>
          <w:color w:val="767676"/>
          <w:sz w:val="21"/>
          <w:szCs w:val="21"/>
        </w:rPr>
        <w:t xml:space="preserve"> LABOPURE</w:t>
      </w:r>
      <w:r w:rsidRPr="00182DEC">
        <w:rPr>
          <w:rFonts w:ascii="Arial" w:hAnsi="Arial" w:cs="Arial"/>
          <w:color w:val="767676"/>
          <w:sz w:val="21"/>
          <w:szCs w:val="21"/>
          <w:vertAlign w:val="superscript"/>
        </w:rPr>
        <w:t>®</w:t>
      </w:r>
      <w:r w:rsidRPr="00182DEC">
        <w:rPr>
          <w:rFonts w:ascii="Arial" w:hAnsi="Arial" w:cs="Arial"/>
          <w:color w:val="767676"/>
          <w:sz w:val="21"/>
          <w:szCs w:val="21"/>
        </w:rPr>
        <w:t xml:space="preserve"> grade Sulphur in Light Mineral Oil standards are manufactured from the highest quality raw materials available in India. These standards are made up on a weight</w:t>
      </w:r>
      <w:r w:rsidR="00604502" w:rsidRPr="00182DEC">
        <w:rPr>
          <w:rFonts w:ascii="Arial" w:hAnsi="Arial" w:cs="Arial"/>
          <w:color w:val="767676"/>
          <w:sz w:val="21"/>
          <w:szCs w:val="21"/>
        </w:rPr>
        <w:t xml:space="preserve"> by </w:t>
      </w:r>
      <w:r w:rsidRPr="00182DEC">
        <w:rPr>
          <w:rFonts w:ascii="Arial" w:hAnsi="Arial" w:cs="Arial"/>
          <w:color w:val="767676"/>
          <w:sz w:val="21"/>
          <w:szCs w:val="21"/>
        </w:rPr>
        <w:t xml:space="preserve">weight basis using balances which are routinely calibrated using NIST-traceable weights. </w:t>
      </w:r>
      <w:r w:rsidR="00604502" w:rsidRPr="00182DEC">
        <w:rPr>
          <w:rFonts w:ascii="Arial" w:hAnsi="Arial" w:cs="Arial"/>
          <w:color w:val="767676"/>
          <w:sz w:val="21"/>
          <w:szCs w:val="21"/>
        </w:rPr>
        <w:t>LABORT’s</w:t>
      </w:r>
      <w:r w:rsidRPr="00182DEC">
        <w:rPr>
          <w:rFonts w:ascii="Arial" w:hAnsi="Arial" w:cs="Arial"/>
          <w:color w:val="767676"/>
          <w:sz w:val="21"/>
          <w:szCs w:val="21"/>
        </w:rPr>
        <w:t xml:space="preserve"> standards are accompanied by a Certificate of Analysis which states the actual concentration and the traceability to NIST. They are guaranteed to be stable for one year</w:t>
      </w:r>
      <w:r w:rsidRPr="00A04468">
        <w:rPr>
          <w:rFonts w:ascii="Arial" w:hAnsi="Arial" w:cs="Arial"/>
          <w:color w:val="767676"/>
          <w:sz w:val="21"/>
          <w:szCs w:val="21"/>
        </w:rPr>
        <w:t xml:space="preserve"> from the shipping date, subject to in intact condition at ambient </w:t>
      </w:r>
      <w:r w:rsidR="005E6E7C" w:rsidRPr="00A04468">
        <w:rPr>
          <w:rFonts w:ascii="Arial" w:hAnsi="Arial" w:cs="Arial"/>
          <w:color w:val="767676"/>
          <w:sz w:val="21"/>
          <w:szCs w:val="21"/>
        </w:rPr>
        <w:t>temperature</w:t>
      </w:r>
      <w:r w:rsidR="005E6E7C">
        <w:rPr>
          <w:rFonts w:ascii="Helvetica" w:hAnsi="Helvetica" w:cs="Helvetica"/>
          <w:color w:val="767676"/>
          <w:sz w:val="21"/>
          <w:szCs w:val="21"/>
        </w:rPr>
        <w:t>.</w:t>
      </w:r>
    </w:p>
    <w:p w:rsidR="007F0952" w:rsidRDefault="007F0952">
      <w:pPr>
        <w:rPr>
          <w:rFonts w:ascii="Helvetica" w:hAnsi="Helvetica" w:cs="Helvetica"/>
          <w:color w:val="767676"/>
          <w:sz w:val="21"/>
          <w:szCs w:val="21"/>
        </w:rPr>
      </w:pPr>
    </w:p>
    <w:tbl>
      <w:tblPr>
        <w:tblW w:w="10903" w:type="dxa"/>
        <w:jc w:val="center"/>
        <w:tblInd w:w="-881" w:type="dxa"/>
        <w:tblLook w:val="04A0"/>
      </w:tblPr>
      <w:tblGrid>
        <w:gridCol w:w="1149"/>
        <w:gridCol w:w="7514"/>
        <w:gridCol w:w="991"/>
        <w:gridCol w:w="1249"/>
      </w:tblGrid>
      <w:tr w:rsidR="007F0952" w:rsidRPr="007F0952" w:rsidTr="007F0952">
        <w:trPr>
          <w:trHeight w:val="914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  <w:t>Product Code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F0952" w:rsidRPr="007F0952" w:rsidRDefault="006B0C47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  <w:t>Desceription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  <w:t>Packing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FFFFFF"/>
                <w:lang w:val="en-US" w:bidi="hi-IN"/>
              </w:rPr>
              <w:t>INR</w:t>
            </w:r>
          </w:p>
        </w:tc>
      </w:tr>
      <w:tr w:rsidR="007F0952" w:rsidRPr="007F0952" w:rsidTr="00EB20A5">
        <w:trPr>
          <w:trHeight w:val="564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45852</w:t>
            </w:r>
          </w:p>
          <w:p w:rsidR="00EB20A5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10,000µg/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g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(</w:t>
            </w:r>
            <w:proofErr w:type="gram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1.00%)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44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1,000µg/g (0.10%)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®,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100µg/g (0.0100%)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36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10µg/g (0.0010%)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0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1,500µg/g (0.15%)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1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15µg/g (0.0015%)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5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20,000µg/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g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(</w:t>
            </w:r>
            <w:proofErr w:type="gram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2.00%)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7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45859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200µg/g (0.0200%)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2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lastRenderedPageBreak/>
              <w:t>45860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20µg/g (0.0020%)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</w:p>
        </w:tc>
      </w:tr>
      <w:tr w:rsidR="007F0952" w:rsidRPr="007F0952" w:rsidTr="00EB20A5">
        <w:trPr>
          <w:trHeight w:val="625"/>
          <w:jc w:val="center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25µg/g (0.0025%)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5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30,000µg/g (3.00%)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5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3,000µg/g (0.30%)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300µg/g (0.0300%)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0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40,000µg/g (4.00%)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5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400µg/g (0.0400%)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0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50,000µg/g (5.00%)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0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5,000µg/g (0.50%)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45869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500µg/g (0.0500%)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45870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50µg/g (0.0050%)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36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45871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5µg/g (0.0005%)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45872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7,500µg/g (0.75%)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79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45873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®,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750µg/g (0.0750%)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55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45874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75µg/g (0.0075%)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  <w:tr w:rsidR="007F0952" w:rsidRPr="007F0952" w:rsidTr="00EB20A5">
        <w:trPr>
          <w:trHeight w:val="60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US" w:bidi="hi-IN"/>
              </w:rPr>
              <w:t>45875</w:t>
            </w:r>
          </w:p>
          <w:p w:rsidR="00EB20A5" w:rsidRPr="007F0952" w:rsidRDefault="00EB20A5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bidi="hi-IN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proofErr w:type="spellStart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Sulphur</w:t>
            </w:r>
            <w:proofErr w:type="spellEnd"/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 xml:space="preserve"> in Light Mineral Oil standard solution, LABOPURE</w:t>
            </w:r>
            <w:r w:rsidRPr="00E213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®</w:t>
            </w: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, Blank (0.0000%)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52" w:rsidRPr="007F0952" w:rsidRDefault="007F0952" w:rsidP="00EB2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100 ml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952" w:rsidRPr="007F0952" w:rsidRDefault="007F0952" w:rsidP="007F0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</w:pPr>
            <w:r w:rsidRPr="007F0952">
              <w:rPr>
                <w:rFonts w:ascii="Calibri" w:eastAsia="Times New Roman" w:hAnsi="Calibri" w:cs="Calibri"/>
                <w:b/>
                <w:bCs/>
                <w:color w:val="000000"/>
                <w:lang w:val="en-US" w:bidi="hi-IN"/>
              </w:rPr>
              <w:t> </w:t>
            </w:r>
          </w:p>
        </w:tc>
      </w:tr>
    </w:tbl>
    <w:p w:rsidR="00A04468" w:rsidRDefault="00A04468" w:rsidP="00BC4F41"/>
    <w:p w:rsidR="00A04468" w:rsidRDefault="00A04468" w:rsidP="00BC4F41"/>
    <w:p w:rsidR="00A04468" w:rsidRDefault="00A04468"/>
    <w:p w:rsidR="005E6E7C" w:rsidRDefault="005E6E7C"/>
    <w:p w:rsidR="00236F85" w:rsidRDefault="00236F85"/>
    <w:p w:rsidR="00236F85" w:rsidRPr="00236F85" w:rsidRDefault="00236F85" w:rsidP="00236F85"/>
    <w:p w:rsidR="00236F85" w:rsidRPr="00236F85" w:rsidRDefault="00236F85" w:rsidP="00236F85"/>
    <w:p w:rsidR="005E6E7C" w:rsidRPr="00236F85" w:rsidRDefault="00236F85" w:rsidP="00236F85">
      <w:pPr>
        <w:tabs>
          <w:tab w:val="left" w:pos="3355"/>
        </w:tabs>
      </w:pPr>
      <w:r>
        <w:tab/>
      </w:r>
    </w:p>
    <w:sectPr w:rsidR="005E6E7C" w:rsidRPr="00236F85" w:rsidSect="00EB16E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CA" w:rsidRDefault="009D72CA" w:rsidP="00236F85">
      <w:pPr>
        <w:spacing w:after="0" w:line="240" w:lineRule="auto"/>
      </w:pPr>
      <w:r>
        <w:separator/>
      </w:r>
    </w:p>
  </w:endnote>
  <w:endnote w:type="continuationSeparator" w:id="0">
    <w:p w:rsidR="009D72CA" w:rsidRDefault="009D72CA" w:rsidP="002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CA" w:rsidRDefault="009D72CA" w:rsidP="00236F85">
      <w:pPr>
        <w:spacing w:after="0" w:line="240" w:lineRule="auto"/>
      </w:pPr>
      <w:r>
        <w:separator/>
      </w:r>
    </w:p>
  </w:footnote>
  <w:footnote w:type="continuationSeparator" w:id="0">
    <w:p w:rsidR="009D72CA" w:rsidRDefault="009D72CA" w:rsidP="0023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3D0007">
    <w:pPr>
      <w:pStyle w:val="Header"/>
    </w:pPr>
    <w:r>
      <w:rPr>
        <w:noProof/>
        <w:lang w:val="en-US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4672" o:spid="_x0000_s2075" type="#_x0000_t75" style="position:absolute;margin-left:0;margin-top:0;width:506.5pt;height:478.8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3D0007">
    <w:pPr>
      <w:pStyle w:val="Header"/>
    </w:pPr>
    <w:r>
      <w:rPr>
        <w:noProof/>
        <w:lang w:val="en-US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4673" o:spid="_x0000_s2076" type="#_x0000_t75" style="position:absolute;margin-left:0;margin-top:0;width:506.5pt;height:478.8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CA" w:rsidRDefault="003D0007">
    <w:pPr>
      <w:pStyle w:val="Header"/>
    </w:pPr>
    <w:r>
      <w:rPr>
        <w:noProof/>
        <w:lang w:val="en-US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4671" o:spid="_x0000_s2074" type="#_x0000_t75" style="position:absolute;margin-left:0;margin-top:0;width:506.5pt;height:478.8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077">
      <o:colormru v:ext="edit" colors="#d5d5d5,#eaeaea,#dadbe0,#e6e7ea,#a6a9b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79B4"/>
    <w:rsid w:val="00097537"/>
    <w:rsid w:val="000D710F"/>
    <w:rsid w:val="00182DEC"/>
    <w:rsid w:val="001F139E"/>
    <w:rsid w:val="002108CA"/>
    <w:rsid w:val="00236F85"/>
    <w:rsid w:val="00260D59"/>
    <w:rsid w:val="0033058D"/>
    <w:rsid w:val="00330859"/>
    <w:rsid w:val="00383168"/>
    <w:rsid w:val="003C59B8"/>
    <w:rsid w:val="003D0007"/>
    <w:rsid w:val="003E385D"/>
    <w:rsid w:val="003F7B1F"/>
    <w:rsid w:val="0040121F"/>
    <w:rsid w:val="00463469"/>
    <w:rsid w:val="004E1274"/>
    <w:rsid w:val="004E7FE2"/>
    <w:rsid w:val="0055547E"/>
    <w:rsid w:val="005A48AC"/>
    <w:rsid w:val="005E6E7C"/>
    <w:rsid w:val="00604502"/>
    <w:rsid w:val="006910B3"/>
    <w:rsid w:val="006B0C47"/>
    <w:rsid w:val="006B28A0"/>
    <w:rsid w:val="00706CB8"/>
    <w:rsid w:val="00730F38"/>
    <w:rsid w:val="0074626A"/>
    <w:rsid w:val="007C6ACD"/>
    <w:rsid w:val="007F0952"/>
    <w:rsid w:val="0084232B"/>
    <w:rsid w:val="008C342C"/>
    <w:rsid w:val="008E07B7"/>
    <w:rsid w:val="00927D12"/>
    <w:rsid w:val="009D72CA"/>
    <w:rsid w:val="00A04468"/>
    <w:rsid w:val="00A45EB1"/>
    <w:rsid w:val="00AF4FF6"/>
    <w:rsid w:val="00B21BEB"/>
    <w:rsid w:val="00B247CA"/>
    <w:rsid w:val="00B41122"/>
    <w:rsid w:val="00BC4F41"/>
    <w:rsid w:val="00BC79B4"/>
    <w:rsid w:val="00BD5D62"/>
    <w:rsid w:val="00CA5B23"/>
    <w:rsid w:val="00D05556"/>
    <w:rsid w:val="00D9749A"/>
    <w:rsid w:val="00DD1D7E"/>
    <w:rsid w:val="00E01B2E"/>
    <w:rsid w:val="00E06C68"/>
    <w:rsid w:val="00E21311"/>
    <w:rsid w:val="00E87313"/>
    <w:rsid w:val="00EB16E3"/>
    <w:rsid w:val="00EB20A5"/>
    <w:rsid w:val="00F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o:colormru v:ext="edit" colors="#d5d5d5,#eaeaea,#dadbe0,#e6e7ea,#a6a9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F85"/>
  </w:style>
  <w:style w:type="paragraph" w:styleId="Footer">
    <w:name w:val="footer"/>
    <w:basedOn w:val="Normal"/>
    <w:link w:val="FooterChar"/>
    <w:uiPriority w:val="99"/>
    <w:semiHidden/>
    <w:unhideWhenUsed/>
    <w:rsid w:val="0023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36D1-08EB-4A37-B6D7-90851B2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</dc:creator>
  <cp:keywords/>
  <dc:description/>
  <cp:lastModifiedBy>HP</cp:lastModifiedBy>
  <cp:revision>15</cp:revision>
  <dcterms:created xsi:type="dcterms:W3CDTF">2018-06-15T04:14:00Z</dcterms:created>
  <dcterms:modified xsi:type="dcterms:W3CDTF">2018-06-22T09:40:00Z</dcterms:modified>
</cp:coreProperties>
</file>